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AF89E" w14:textId="77777777" w:rsidR="00D90DF0" w:rsidRPr="00D90DF0" w:rsidRDefault="00D90DF0" w:rsidP="00D90DF0">
      <w:pPr>
        <w:pStyle w:val="GPSL3numberedclause"/>
        <w:numPr>
          <w:ilvl w:val="0"/>
          <w:numId w:val="0"/>
        </w:numPr>
        <w:rPr>
          <w:rFonts w:ascii="Arial" w:hAnsi="Arial"/>
          <w:b/>
          <w:sz w:val="36"/>
          <w:szCs w:val="36"/>
        </w:rPr>
      </w:pPr>
    </w:p>
    <w:p w14:paraId="34AAF89F" w14:textId="77777777" w:rsidR="004A37A5" w:rsidRPr="00D90DF0" w:rsidRDefault="004A37A5" w:rsidP="004A37A5">
      <w:pPr>
        <w:keepNext/>
        <w:jc w:val="left"/>
        <w:outlineLvl w:val="1"/>
        <w:rPr>
          <w:rFonts w:ascii="Arial" w:eastAsia="Calibri" w:hAnsi="Arial"/>
          <w:b/>
          <w:sz w:val="36"/>
          <w:szCs w:val="36"/>
        </w:rPr>
      </w:pPr>
      <w:bookmarkStart w:id="0" w:name="_GoBack"/>
      <w:bookmarkEnd w:id="0"/>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34AAF8A0" w14:textId="57AA7A9D" w:rsidR="007337F4" w:rsidRPr="0048104E" w:rsidRDefault="00341AEF" w:rsidP="0048104E">
      <w:pPr>
        <w:pStyle w:val="GPSL1SCHEDULEHeading"/>
        <w:keepNext/>
        <w:jc w:val="left"/>
        <w:outlineLvl w:val="1"/>
        <w:rPr>
          <w:rFonts w:ascii="Arial Bold" w:hAnsi="Arial Bold"/>
          <w:caps w:val="0"/>
          <w:sz w:val="24"/>
          <w:szCs w:val="24"/>
        </w:rPr>
      </w:pPr>
      <w:r w:rsidRPr="0048104E">
        <w:rPr>
          <w:rFonts w:ascii="Arial Bold" w:hAnsi="Arial Bold"/>
          <w:caps w:val="0"/>
          <w:sz w:val="24"/>
          <w:szCs w:val="24"/>
        </w:rPr>
        <w:t>D</w:t>
      </w:r>
      <w:r w:rsidR="0048104E">
        <w:rPr>
          <w:rFonts w:ascii="Arial Bold" w:hAnsi="Arial Bold"/>
          <w:caps w:val="0"/>
          <w:sz w:val="24"/>
          <w:szCs w:val="24"/>
        </w:rPr>
        <w:t>efinitions</w:t>
      </w:r>
    </w:p>
    <w:p w14:paraId="34AAF8A1"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14:paraId="34AAF8A4" w14:textId="77777777">
        <w:tc>
          <w:tcPr>
            <w:tcW w:w="1803" w:type="pct"/>
            <w:shd w:val="clear" w:color="auto" w:fill="auto"/>
          </w:tcPr>
          <w:p w14:paraId="34AAF8A2"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"Benchmarked Rates"</w:t>
            </w:r>
          </w:p>
        </w:tc>
        <w:tc>
          <w:tcPr>
            <w:tcW w:w="3197" w:type="pct"/>
            <w:shd w:val="clear" w:color="auto" w:fill="auto"/>
          </w:tcPr>
          <w:p w14:paraId="34AAF8A3"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the Charges for the Benchmarked Deliverables;</w:t>
            </w:r>
          </w:p>
        </w:tc>
      </w:tr>
      <w:tr w:rsidR="007337F4" w:rsidRPr="004A37A5" w14:paraId="34AAF8A7" w14:textId="77777777">
        <w:tblPrEx>
          <w:tblCellMar>
            <w:left w:w="0" w:type="dxa"/>
            <w:right w:w="0" w:type="dxa"/>
          </w:tblCellMar>
        </w:tblPrEx>
        <w:tc>
          <w:tcPr>
            <w:tcW w:w="1803" w:type="pct"/>
            <w:tcMar>
              <w:top w:w="0" w:type="dxa"/>
              <w:left w:w="108" w:type="dxa"/>
              <w:bottom w:w="0" w:type="dxa"/>
              <w:right w:w="108" w:type="dxa"/>
            </w:tcMar>
            <w:hideMark/>
          </w:tcPr>
          <w:p w14:paraId="34AAF8A5"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"Benchmarker"</w:t>
            </w:r>
          </w:p>
        </w:tc>
        <w:tc>
          <w:tcPr>
            <w:tcW w:w="3197" w:type="pct"/>
            <w:tcMar>
              <w:top w:w="0" w:type="dxa"/>
              <w:left w:w="108" w:type="dxa"/>
              <w:bottom w:w="0" w:type="dxa"/>
              <w:right w:w="108" w:type="dxa"/>
            </w:tcMar>
            <w:hideMark/>
          </w:tcPr>
          <w:p w14:paraId="34AAF8A6" w14:textId="77777777" w:rsidR="007337F4" w:rsidRPr="004A37A5" w:rsidRDefault="00341AEF" w:rsidP="004A37A5">
            <w:pPr>
              <w:pStyle w:val="GPsDefinition"/>
              <w:numPr>
                <w:ilvl w:val="0"/>
                <w:numId w:val="5"/>
              </w:numPr>
              <w:tabs>
                <w:tab w:val="clear" w:pos="175"/>
              </w:tabs>
              <w:adjustRightInd/>
              <w:jc w:val="left"/>
              <w:textAlignment w:val="auto"/>
              <w:rPr>
                <w:rFonts w:ascii="Arial" w:hAnsi="Arial"/>
                <w:sz w:val="24"/>
                <w:szCs w:val="24"/>
              </w:rPr>
            </w:pPr>
            <w:r w:rsidRPr="004A37A5">
              <w:rPr>
                <w:rFonts w:ascii="Arial" w:hAnsi="Arial"/>
                <w:sz w:val="24"/>
                <w:szCs w:val="24"/>
              </w:rPr>
              <w:t>a neutral and independent third party with knowledge and experience of financial matters in relation to the Benchmarked Deliverables;</w:t>
            </w:r>
          </w:p>
        </w:tc>
      </w:tr>
      <w:tr w:rsidR="007337F4" w:rsidRPr="004A37A5" w14:paraId="34AAF8AA" w14:textId="77777777">
        <w:tc>
          <w:tcPr>
            <w:tcW w:w="1803" w:type="pct"/>
            <w:shd w:val="clear" w:color="auto" w:fill="auto"/>
          </w:tcPr>
          <w:p w14:paraId="34AAF8A8"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34AAF8A9"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14:paraId="34AAF8AD" w14:textId="77777777">
        <w:tc>
          <w:tcPr>
            <w:tcW w:w="1803" w:type="pct"/>
            <w:shd w:val="clear" w:color="auto" w:fill="auto"/>
          </w:tcPr>
          <w:p w14:paraId="34AAF8AB"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34AAF8AC"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14:paraId="34AAF8B0" w14:textId="77777777">
        <w:tc>
          <w:tcPr>
            <w:tcW w:w="1803" w:type="pct"/>
            <w:shd w:val="clear" w:color="auto" w:fill="auto"/>
          </w:tcPr>
          <w:p w14:paraId="34AAF8AE"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34AAF8AF"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rates payable by the Comparison Group for Comparable Deliverables that can be fairly compared with the Charges;</w:t>
            </w:r>
          </w:p>
        </w:tc>
      </w:tr>
      <w:tr w:rsidR="007337F4" w:rsidRPr="004A37A5" w14:paraId="34AAF8B3" w14:textId="77777777">
        <w:tc>
          <w:tcPr>
            <w:tcW w:w="1803" w:type="pct"/>
            <w:shd w:val="clear" w:color="auto" w:fill="auto"/>
          </w:tcPr>
          <w:p w14:paraId="34AAF8B1"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34AAF8B2"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14:paraId="34AAF8B6" w14:textId="77777777">
        <w:tc>
          <w:tcPr>
            <w:tcW w:w="1803" w:type="pct"/>
            <w:shd w:val="clear" w:color="auto" w:fill="auto"/>
          </w:tcPr>
          <w:p w14:paraId="34AAF8B4"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34AAF8B5"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14:paraId="34AAF8B9" w14:textId="77777777">
        <w:tc>
          <w:tcPr>
            <w:tcW w:w="1803" w:type="pct"/>
            <w:shd w:val="clear" w:color="auto" w:fill="auto"/>
          </w:tcPr>
          <w:p w14:paraId="34AAF8B7"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34AAF8B8"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14:paraId="34AAF8BC" w14:textId="77777777">
        <w:tc>
          <w:tcPr>
            <w:tcW w:w="1803" w:type="pct"/>
            <w:shd w:val="clear" w:color="auto" w:fill="auto"/>
          </w:tcPr>
          <w:p w14:paraId="34AAF8BA"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lastRenderedPageBreak/>
              <w:t>"Good Value"</w:t>
            </w:r>
          </w:p>
        </w:tc>
        <w:tc>
          <w:tcPr>
            <w:tcW w:w="3197" w:type="pct"/>
            <w:shd w:val="clear" w:color="auto" w:fill="auto"/>
          </w:tcPr>
          <w:p w14:paraId="34AAF8BB"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14:paraId="34AAF8BF" w14:textId="77777777">
        <w:tc>
          <w:tcPr>
            <w:tcW w:w="1803" w:type="pct"/>
            <w:shd w:val="clear" w:color="auto" w:fill="auto"/>
          </w:tcPr>
          <w:p w14:paraId="34AAF8BD"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34AAF8BE"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34AAF8C0" w14:textId="77777777" w:rsidR="007337F4" w:rsidRPr="004A37A5" w:rsidRDefault="00D33320" w:rsidP="0048104E">
      <w:pPr>
        <w:pStyle w:val="GPSL1SCHEDULEHeading"/>
        <w:keepNext/>
        <w:jc w:val="left"/>
        <w:outlineLvl w:val="1"/>
        <w:rPr>
          <w:rFonts w:ascii="Arial" w:hAnsi="Arial"/>
          <w:sz w:val="24"/>
          <w:szCs w:val="24"/>
        </w:rPr>
      </w:pPr>
      <w:r>
        <w:rPr>
          <w:rFonts w:ascii="Arial Bold" w:hAnsi="Arial Bold"/>
          <w:caps w:val="0"/>
          <w:sz w:val="24"/>
          <w:szCs w:val="24"/>
        </w:rPr>
        <w:t>When you should use this Schedule</w:t>
      </w:r>
    </w:p>
    <w:p w14:paraId="34AAF8C1" w14:textId="77777777" w:rsidR="00942E1F" w:rsidRPr="00942E1F" w:rsidRDefault="00942E1F" w:rsidP="004A37A5">
      <w:pPr>
        <w:pStyle w:val="GPSL2Numbered"/>
        <w:jc w:val="left"/>
        <w:rPr>
          <w:rFonts w:ascii="Arial" w:hAnsi="Arial"/>
          <w:b/>
          <w:sz w:val="24"/>
          <w:szCs w:val="24"/>
        </w:rPr>
      </w:pPr>
      <w:r>
        <w:rPr>
          <w:rFonts w:ascii="Arial" w:hAnsi="Arial"/>
          <w:sz w:val="24"/>
          <w:szCs w:val="24"/>
        </w:rPr>
        <w:t>This Schedule shall apply where so specified by a Buyer that has undertaken a Further Competition.</w:t>
      </w:r>
    </w:p>
    <w:p w14:paraId="34AAF8C2"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34AAF8C3"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34AAF8C4"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34AAF8C5" w14:textId="77777777" w:rsidR="007337F4" w:rsidRPr="00D33320" w:rsidRDefault="00D33320" w:rsidP="0048104E">
      <w:pPr>
        <w:pStyle w:val="GPSL1SCHEDULEHeading"/>
        <w:keepNext/>
        <w:jc w:val="left"/>
        <w:outlineLvl w:val="1"/>
        <w:rPr>
          <w:rFonts w:ascii="Arial Bold" w:hAnsi="Arial Bold"/>
          <w:caps w:val="0"/>
          <w:sz w:val="24"/>
          <w:szCs w:val="24"/>
        </w:rPr>
      </w:pPr>
      <w:r>
        <w:rPr>
          <w:rFonts w:ascii="Arial Bold" w:hAnsi="Arial Bold"/>
          <w:caps w:val="0"/>
          <w:sz w:val="24"/>
          <w:szCs w:val="24"/>
        </w:rPr>
        <w:t>Benchmarking</w:t>
      </w:r>
    </w:p>
    <w:p w14:paraId="34AAF8C6" w14:textId="77777777" w:rsidR="007337F4" w:rsidRPr="004A37A5" w:rsidRDefault="00D33320" w:rsidP="0048104E">
      <w:pPr>
        <w:pStyle w:val="GPSL2Numbered"/>
        <w:keepNext/>
        <w:jc w:val="left"/>
        <w:outlineLvl w:val="1"/>
        <w:rPr>
          <w:rFonts w:ascii="Arial" w:hAnsi="Arial"/>
          <w:b/>
          <w:sz w:val="24"/>
          <w:szCs w:val="24"/>
        </w:rPr>
      </w:pPr>
      <w:r>
        <w:rPr>
          <w:rFonts w:ascii="Arial" w:hAnsi="Arial"/>
          <w:b/>
          <w:sz w:val="24"/>
          <w:szCs w:val="24"/>
        </w:rPr>
        <w:t>How benchmarking works</w:t>
      </w:r>
    </w:p>
    <w:p w14:paraId="34AAF8C7" w14:textId="77777777" w:rsidR="00091FC6" w:rsidRPr="00091FC6" w:rsidRDefault="00091FC6" w:rsidP="00091FC6">
      <w:pPr>
        <w:pStyle w:val="GPSL3numberedclause"/>
        <w:rPr>
          <w:rFonts w:ascii="Arial" w:hAnsi="Arial"/>
          <w:sz w:val="24"/>
          <w:szCs w:val="24"/>
        </w:rPr>
      </w:pPr>
      <w:r w:rsidRPr="00091FC6">
        <w:rPr>
          <w:rFonts w:ascii="Arial" w:hAnsi="Arial"/>
          <w:sz w:val="24"/>
          <w:szCs w:val="24"/>
        </w:rPr>
        <w:t>The Buyer and the Supplier recognise that, where specified in Framework Schedule 4 (Framework Management), the Buyer may give CCS the right to enforce the Buyer's rights under this Schedule.</w:t>
      </w:r>
    </w:p>
    <w:p w14:paraId="34AAF8C8"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34AAF8C9"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34AAF8CA"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34AAF8CB"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34AAF8CC" w14:textId="77777777"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Benchmarker.  The Supplier must approve the nomination within ten (10) Working Days unless the Supplier provides a reasonable explanation for rejecting the appointment.   If the appointment is </w:t>
      </w:r>
      <w:r w:rsidR="00341AEF" w:rsidRPr="004A37A5">
        <w:rPr>
          <w:rFonts w:ascii="Arial" w:hAnsi="Arial"/>
          <w:sz w:val="24"/>
          <w:szCs w:val="24"/>
        </w:rPr>
        <w:lastRenderedPageBreak/>
        <w:t xml:space="preserve">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34AAF8CD"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Benchmarker shall be raised against the Supplier and the relevant portion shall be reimbursed by the Buyer.</w:t>
      </w:r>
    </w:p>
    <w:p w14:paraId="34AAF8CE" w14:textId="77777777" w:rsidR="007337F4" w:rsidRPr="004A37A5" w:rsidRDefault="00341AEF" w:rsidP="0048104E">
      <w:pPr>
        <w:pStyle w:val="GPSL2Numbered"/>
        <w:keepNext/>
        <w:jc w:val="left"/>
        <w:outlineLvl w:val="1"/>
        <w:rPr>
          <w:rFonts w:ascii="Arial" w:hAnsi="Arial"/>
          <w:b/>
          <w:sz w:val="24"/>
          <w:szCs w:val="24"/>
        </w:rPr>
      </w:pPr>
      <w:r w:rsidRPr="004A37A5">
        <w:rPr>
          <w:rFonts w:ascii="Arial" w:hAnsi="Arial"/>
          <w:b/>
          <w:sz w:val="24"/>
          <w:szCs w:val="24"/>
        </w:rPr>
        <w:t>Benchmarking Process</w:t>
      </w:r>
    </w:p>
    <w:p w14:paraId="34AAF8CF"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Benchmarker shall produce and send to the Buyer, for Approval, a draft plan for the Benchmark Review </w:t>
      </w:r>
      <w:bookmarkStart w:id="1" w:name="_Ref365988031"/>
      <w:r w:rsidRPr="004A37A5">
        <w:rPr>
          <w:rFonts w:ascii="Arial" w:hAnsi="Arial"/>
          <w:sz w:val="24"/>
          <w:szCs w:val="24"/>
        </w:rPr>
        <w:t>which must include:</w:t>
      </w:r>
      <w:bookmarkEnd w:id="1"/>
    </w:p>
    <w:p w14:paraId="34AAF8D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34AAF8D1"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34AAF8D2"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Benchmarker will scope and identify the Comparison Group. </w:t>
      </w:r>
    </w:p>
    <w:p w14:paraId="34AAF8D3" w14:textId="77777777"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Benchmarker, acting reasonably, shall be entitled to use any model to determine the achievement of value for money and to carry out the benchmarking. </w:t>
      </w:r>
    </w:p>
    <w:p w14:paraId="34AAF8D4" w14:textId="77777777"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w:t>
      </w:r>
      <w:bookmarkEnd w:id="2"/>
      <w:r w:rsidRPr="004A37A5">
        <w:rPr>
          <w:rFonts w:ascii="Arial" w:hAnsi="Arial"/>
          <w:sz w:val="24"/>
          <w:szCs w:val="24"/>
        </w:rPr>
        <w:t>If amendments are suggested then the Benchmarker must produce an amended draft plan and this Paragraph 3.2.3 shall apply to any amended draft plan.</w:t>
      </w:r>
      <w:bookmarkEnd w:id="3"/>
    </w:p>
    <w:p w14:paraId="34AAF8D5"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Once both Parties have approved the draft plan then they will notify the Benchmarker.  No Party may unreasonably withhold or delay its Approval of the draft plan.</w:t>
      </w:r>
    </w:p>
    <w:p w14:paraId="34AAF8D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Once it has received the Approval of the draft plan, the Benchmarker shall:</w:t>
      </w:r>
    </w:p>
    <w:p w14:paraId="34AAF8D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finalise the Comparison Group and collect data relating to Comparable Rates. The selection of the Comparable Rates (both in terms of number and identity) shall be a matter for the </w:t>
      </w:r>
      <w:r w:rsidR="006D3F3E">
        <w:rPr>
          <w:rFonts w:ascii="Arial" w:hAnsi="Arial"/>
          <w:sz w:val="24"/>
          <w:szCs w:val="24"/>
        </w:rPr>
        <w:t>Benchmarker’s</w:t>
      </w:r>
      <w:r w:rsidRPr="004A37A5">
        <w:rPr>
          <w:rFonts w:ascii="Arial" w:hAnsi="Arial"/>
          <w:sz w:val="24"/>
          <w:szCs w:val="24"/>
        </w:rPr>
        <w:t xml:space="preserve"> professional judgment using:</w:t>
      </w:r>
    </w:p>
    <w:p w14:paraId="34AAF8D8"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34AAF8D9"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the Benchmarker’s own data and experience;</w:t>
      </w:r>
    </w:p>
    <w:p w14:paraId="34AAF8DA"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lastRenderedPageBreak/>
        <w:t>relevant published information; and</w:t>
      </w:r>
    </w:p>
    <w:p w14:paraId="34AAF8DB" w14:textId="7168C31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48104E">
        <w:rPr>
          <w:rFonts w:ascii="Arial" w:hAnsi="Arial"/>
          <w:sz w:val="24"/>
          <w:szCs w:val="24"/>
          <w:cs/>
        </w:rPr>
        <w:t>‎</w:t>
      </w:r>
      <w:r w:rsidR="0048104E">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14:paraId="34AAF8DC" w14:textId="4923C37C"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48104E">
        <w:rPr>
          <w:rFonts w:ascii="Arial" w:hAnsi="Arial"/>
          <w:sz w:val="24"/>
          <w:szCs w:val="24"/>
          <w:cs/>
        </w:rPr>
        <w:t>‎</w:t>
      </w:r>
      <w:r w:rsidR="0048104E">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14:paraId="34AAF8DD"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34AAF8D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34AAF8DF" w14:textId="77777777"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bookmarkEnd w:id="4"/>
    </w:p>
    <w:p w14:paraId="34AAF8E0" w14:textId="77777777"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In carrying out the benchmarking analysis the Benchmarker may have regard to the following matters when performing a comparative assessment of the Benchmarked Rates and the Comparable Rates in order to derive Equivalent Data:</w:t>
      </w:r>
      <w:bookmarkEnd w:id="5"/>
    </w:p>
    <w:p w14:paraId="34AAF8E1"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34AAF8E2"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34AAF8E3"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34AAF8E4" w14:textId="77777777" w:rsidR="007337F4" w:rsidRPr="004A37A5" w:rsidRDefault="00D33320" w:rsidP="0048104E">
      <w:pPr>
        <w:pStyle w:val="GPSL2NumberedBoldHeading"/>
        <w:keepNext/>
        <w:ind w:left="648" w:hanging="216"/>
        <w:jc w:val="left"/>
        <w:outlineLvl w:val="1"/>
        <w:rPr>
          <w:rFonts w:ascii="Arial" w:hAnsi="Arial"/>
          <w:sz w:val="24"/>
          <w:szCs w:val="24"/>
        </w:rPr>
      </w:pPr>
      <w:r>
        <w:rPr>
          <w:rFonts w:ascii="Arial" w:hAnsi="Arial"/>
          <w:sz w:val="24"/>
          <w:szCs w:val="24"/>
        </w:rPr>
        <w:t>Benchmarking Report</w:t>
      </w:r>
    </w:p>
    <w:p w14:paraId="34AAF8E5"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Benchmarker following the Benchmark Review and as further described in this Schedule;</w:t>
      </w:r>
    </w:p>
    <w:p w14:paraId="34AAF8E6" w14:textId="7C0F4CED"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Benchmarker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48104E">
        <w:rPr>
          <w:rFonts w:ascii="Arial" w:hAnsi="Arial"/>
          <w:sz w:val="24"/>
          <w:szCs w:val="24"/>
          <w:cs/>
        </w:rPr>
        <w:t>‎</w:t>
      </w:r>
      <w:r w:rsidR="0048104E">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34AAF8E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34AAF8E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34AAF8E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include sufficient detail and transparency so that the </w:t>
      </w:r>
      <w:r w:rsidR="00292978">
        <w:rPr>
          <w:rFonts w:ascii="Arial" w:hAnsi="Arial"/>
          <w:sz w:val="24"/>
          <w:szCs w:val="24"/>
        </w:rPr>
        <w:t>Buyer</w:t>
      </w:r>
      <w:r w:rsidRPr="004A37A5">
        <w:rPr>
          <w:rFonts w:ascii="Arial" w:hAnsi="Arial"/>
          <w:sz w:val="24"/>
          <w:szCs w:val="24"/>
        </w:rPr>
        <w:t xml:space="preserve"> can interpret and understand how the </w:t>
      </w:r>
      <w:r w:rsidR="00292978">
        <w:rPr>
          <w:rFonts w:ascii="Arial" w:hAnsi="Arial"/>
          <w:sz w:val="24"/>
          <w:szCs w:val="24"/>
        </w:rPr>
        <w:t>Benchmarker</w:t>
      </w:r>
      <w:r w:rsidRPr="004A37A5">
        <w:rPr>
          <w:rFonts w:ascii="Arial" w:hAnsi="Arial"/>
          <w:sz w:val="24"/>
          <w:szCs w:val="24"/>
        </w:rPr>
        <w:t xml:space="preserve"> has </w:t>
      </w:r>
      <w:r w:rsidRPr="004A37A5">
        <w:rPr>
          <w:rFonts w:ascii="Arial" w:hAnsi="Arial"/>
          <w:sz w:val="24"/>
          <w:szCs w:val="24"/>
        </w:rPr>
        <w:lastRenderedPageBreak/>
        <w:t>calculated whether or not the Benchmarked Deliverables are, individually or as a whole, Good Value.</w:t>
      </w:r>
    </w:p>
    <w:p w14:paraId="34AAF8EA"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34AAF8EB" w14:textId="77777777" w:rsidR="007337F4" w:rsidRPr="004A37A5" w:rsidRDefault="007337F4">
      <w:pPr>
        <w:pStyle w:val="GPSL3numberedclause"/>
        <w:numPr>
          <w:ilvl w:val="0"/>
          <w:numId w:val="0"/>
        </w:numPr>
        <w:ind w:left="1985"/>
        <w:rPr>
          <w:rFonts w:ascii="Arial" w:hAnsi="Arial"/>
          <w:sz w:val="24"/>
          <w:szCs w:val="24"/>
        </w:rPr>
      </w:pPr>
    </w:p>
    <w:sectPr w:rsidR="007337F4" w:rsidRPr="004A37A5"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F6D40" w14:textId="77777777" w:rsidR="0070093C" w:rsidRDefault="0070093C">
      <w:pPr>
        <w:spacing w:after="0"/>
      </w:pPr>
      <w:r>
        <w:separator/>
      </w:r>
    </w:p>
  </w:endnote>
  <w:endnote w:type="continuationSeparator" w:id="0">
    <w:p w14:paraId="1E2D15BC" w14:textId="77777777" w:rsidR="0070093C" w:rsidRDefault="00700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AF8F4" w14:textId="77777777" w:rsidR="007337F4" w:rsidRPr="00985E32" w:rsidRDefault="007337F4">
    <w:pPr>
      <w:tabs>
        <w:tab w:val="center" w:pos="4513"/>
        <w:tab w:val="right" w:pos="9026"/>
      </w:tabs>
      <w:spacing w:after="0"/>
      <w:rPr>
        <w:rFonts w:ascii="Arial" w:hAnsi="Arial"/>
        <w:sz w:val="20"/>
      </w:rPr>
    </w:pPr>
  </w:p>
  <w:p w14:paraId="34AAF8F5" w14:textId="77777777" w:rsidR="004D49BE" w:rsidRPr="00985E32" w:rsidRDefault="004D49BE" w:rsidP="004D49BE">
    <w:pPr>
      <w:tabs>
        <w:tab w:val="center" w:pos="4513"/>
        <w:tab w:val="right" w:pos="9026"/>
      </w:tabs>
      <w:spacing w:after="0"/>
      <w:rPr>
        <w:rFonts w:ascii="Arial" w:hAnsi="Arial"/>
        <w:sz w:val="20"/>
      </w:rPr>
    </w:pPr>
    <w:r w:rsidRPr="00985E32">
      <w:rPr>
        <w:rFonts w:ascii="Arial" w:hAnsi="Arial"/>
        <w:sz w:val="20"/>
      </w:rPr>
      <w:t>Framework Ref: RM</w:t>
    </w:r>
    <w:r w:rsidR="001611D1">
      <w:rPr>
        <w:rFonts w:ascii="Arial" w:hAnsi="Arial"/>
        <w:sz w:val="20"/>
      </w:rPr>
      <w:t>3808</w:t>
    </w:r>
  </w:p>
  <w:p w14:paraId="34AAF8F6" w14:textId="4592EDCF" w:rsidR="00865BAC" w:rsidRDefault="00D33320" w:rsidP="00447C56">
    <w:pPr>
      <w:pStyle w:val="Footer"/>
      <w:jc w:val="left"/>
      <w:rPr>
        <w:rFonts w:ascii="Arial" w:hAnsi="Arial"/>
        <w:sz w:val="20"/>
      </w:rPr>
    </w:pPr>
    <w:r>
      <w:rPr>
        <w:rFonts w:ascii="Arial" w:hAnsi="Arial"/>
        <w:sz w:val="20"/>
      </w:rPr>
      <w:t>Project Version</w:t>
    </w:r>
    <w:r w:rsidR="00447C56">
      <w:rPr>
        <w:rFonts w:ascii="Arial" w:hAnsi="Arial"/>
        <w:sz w:val="20"/>
      </w:rPr>
      <w:t xml:space="preserve">: </w:t>
    </w:r>
    <w:r w:rsidR="00865BAC">
      <w:rPr>
        <w:rFonts w:ascii="Arial" w:hAnsi="Arial"/>
        <w:sz w:val="20"/>
      </w:rPr>
      <w:t>v</w:t>
    </w:r>
    <w:r w:rsidR="0048104E">
      <w:rPr>
        <w:rFonts w:ascii="Arial" w:hAnsi="Arial"/>
        <w:sz w:val="20"/>
      </w:rPr>
      <w:t>1.0</w:t>
    </w:r>
    <w:r w:rsidR="00447C56">
      <w:rPr>
        <w:rFonts w:ascii="Arial" w:hAnsi="Arial"/>
        <w:sz w:val="20"/>
      </w:rPr>
      <w:t xml:space="preserve"> </w:t>
    </w:r>
  </w:p>
  <w:p w14:paraId="34AAF8F7" w14:textId="77777777" w:rsidR="006E749B" w:rsidRDefault="00865BAC" w:rsidP="00C36A40">
    <w:pPr>
      <w:pStyle w:val="Footer"/>
    </w:pPr>
    <w:r w:rsidRPr="00865BAC">
      <w:rPr>
        <w:rFonts w:ascii="Arial" w:hAnsi="Arial"/>
        <w:sz w:val="20"/>
      </w:rPr>
      <w:t>Model Version: v3.0</w:t>
    </w:r>
    <w:r w:rsidR="00D33320">
      <w:rPr>
        <w:rFonts w:ascii="Arial" w:hAnsi="Arial"/>
        <w:sz w:val="20"/>
      </w:rPr>
      <w:t xml:space="preserve"> </w:t>
    </w:r>
    <w:r w:rsidR="00D33320">
      <w:rPr>
        <w:rFonts w:ascii="Arial" w:hAnsi="Arial"/>
        <w:sz w:val="20"/>
      </w:rPr>
      <w:tab/>
    </w:r>
    <w:r w:rsidR="00D33320">
      <w:rPr>
        <w:rFonts w:ascii="Arial" w:hAnsi="Arial"/>
        <w:sz w:val="20"/>
      </w:rPr>
      <w:tab/>
      <w:t xml:space="preserve"> </w:t>
    </w:r>
    <w:r w:rsidR="004D49BE" w:rsidRPr="00985E32">
      <w:rPr>
        <w:rFonts w:ascii="Arial" w:hAnsi="Arial"/>
        <w:sz w:val="20"/>
      </w:rPr>
      <w:fldChar w:fldCharType="begin"/>
    </w:r>
    <w:r w:rsidR="004D49BE" w:rsidRPr="00985E32">
      <w:rPr>
        <w:rFonts w:ascii="Arial" w:hAnsi="Arial"/>
        <w:sz w:val="20"/>
      </w:rPr>
      <w:instrText xml:space="preserve"> PAGE   \* MERGEFORMAT </w:instrText>
    </w:r>
    <w:r w:rsidR="004D49BE" w:rsidRPr="00985E32">
      <w:rPr>
        <w:rFonts w:ascii="Arial" w:hAnsi="Arial"/>
        <w:sz w:val="20"/>
      </w:rPr>
      <w:fldChar w:fldCharType="separate"/>
    </w:r>
    <w:r w:rsidR="0048104E">
      <w:rPr>
        <w:rFonts w:ascii="Arial" w:hAnsi="Arial"/>
        <w:noProof/>
        <w:sz w:val="20"/>
      </w:rPr>
      <w:t>1</w:t>
    </w:r>
    <w:r w:rsidR="004D49BE" w:rsidRPr="00985E32">
      <w:rPr>
        <w:rFonts w:ascii="Arial" w:hAnsi="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AF8F9" w14:textId="77777777" w:rsidR="006E2B29" w:rsidRPr="00985E32" w:rsidRDefault="006E2B29"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34AAF8FA" w14:textId="77777777" w:rsidR="006E2B29" w:rsidRPr="00985E32" w:rsidRDefault="001A1CEB"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E2B29" w:rsidRPr="00985E32">
      <w:rPr>
        <w:rFonts w:ascii="Arial" w:hAnsi="Arial"/>
        <w:sz w:val="20"/>
      </w:rPr>
      <w:fldChar w:fldCharType="begin"/>
    </w:r>
    <w:r w:rsidR="006E2B29" w:rsidRPr="00985E32">
      <w:rPr>
        <w:rFonts w:ascii="Arial" w:hAnsi="Arial"/>
        <w:sz w:val="20"/>
      </w:rPr>
      <w:instrText xml:space="preserve"> PAGE   \* MERGEFORMAT </w:instrText>
    </w:r>
    <w:r w:rsidR="006E2B29" w:rsidRPr="00985E32">
      <w:rPr>
        <w:rFonts w:ascii="Arial" w:hAnsi="Arial"/>
        <w:sz w:val="20"/>
      </w:rPr>
      <w:fldChar w:fldCharType="separate"/>
    </w:r>
    <w:r w:rsidR="00D90DF0">
      <w:rPr>
        <w:rFonts w:ascii="Arial" w:hAnsi="Arial"/>
        <w:noProof/>
        <w:sz w:val="20"/>
      </w:rPr>
      <w:t>1</w:t>
    </w:r>
    <w:r w:rsidR="006E2B29" w:rsidRPr="00985E32">
      <w:rPr>
        <w:rFonts w:ascii="Arial" w:hAnsi="Arial"/>
        <w:noProof/>
        <w:sz w:val="20"/>
      </w:rPr>
      <w:fldChar w:fldCharType="end"/>
    </w:r>
  </w:p>
  <w:p w14:paraId="34AAF8FB" w14:textId="77777777" w:rsidR="006E2B29" w:rsidRDefault="00114CD2" w:rsidP="006E2B29">
    <w:pPr>
      <w:tabs>
        <w:tab w:val="center" w:pos="4513"/>
        <w:tab w:val="right" w:pos="9026"/>
      </w:tabs>
      <w:spacing w:after="0"/>
    </w:pPr>
    <w:r>
      <w:rPr>
        <w:rFonts w:ascii="Arial" w:hAnsi="Arial"/>
        <w:sz w:val="20"/>
      </w:rPr>
      <w:t xml:space="preserve">Model </w:t>
    </w:r>
    <w:r w:rsidR="00D90DF0">
      <w:rPr>
        <w:rFonts w:ascii="Arial" w:hAnsi="Arial"/>
        <w:sz w:val="20"/>
      </w:rPr>
      <w:t>Version:</w:t>
    </w:r>
    <w:r>
      <w:rPr>
        <w:rFonts w:ascii="Arial" w:hAnsi="Arial"/>
        <w:sz w:val="20"/>
      </w:rPr>
      <w:t xml:space="preserve"> v3.0</w:t>
    </w:r>
    <w:r w:rsidR="006E2B29" w:rsidRPr="00985E32">
      <w:rPr>
        <w:rFonts w:ascii="Arial" w:hAnsi="Arial"/>
        <w:sz w:val="20"/>
      </w:rPr>
      <w:tab/>
    </w:r>
    <w:r w:rsidR="006E2B29">
      <w:tab/>
    </w:r>
    <w:r w:rsidR="006E2B2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C6C57" w14:textId="77777777" w:rsidR="0070093C" w:rsidRDefault="0070093C">
      <w:pPr>
        <w:spacing w:after="0"/>
      </w:pPr>
      <w:r>
        <w:separator/>
      </w:r>
    </w:p>
  </w:footnote>
  <w:footnote w:type="continuationSeparator" w:id="0">
    <w:p w14:paraId="47E2D428" w14:textId="77777777" w:rsidR="0070093C" w:rsidRDefault="007009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AF8F0" w14:textId="77777777" w:rsidR="007337F4" w:rsidRPr="00985E32" w:rsidRDefault="00341AEF">
    <w:pPr>
      <w:pStyle w:val="Header"/>
      <w:rPr>
        <w:rFonts w:ascii="Arial" w:hAnsi="Arial"/>
        <w:sz w:val="20"/>
      </w:rPr>
    </w:pPr>
    <w:r w:rsidRPr="00985E32">
      <w:rPr>
        <w:rFonts w:ascii="Arial" w:hAnsi="Arial"/>
        <w:b/>
        <w:sz w:val="20"/>
      </w:rPr>
      <w:t>Call-</w:t>
    </w:r>
    <w:r w:rsidR="004A37A5">
      <w:rPr>
        <w:rFonts w:ascii="Arial" w:hAnsi="Arial"/>
        <w:b/>
        <w:sz w:val="20"/>
      </w:rPr>
      <w:t>Off Schedule 16 (Benchmarking)</w:t>
    </w:r>
  </w:p>
  <w:p w14:paraId="34AAF8F1" w14:textId="77777777" w:rsidR="00D33320" w:rsidRDefault="00D33320">
    <w:pPr>
      <w:pStyle w:val="Header"/>
      <w:rPr>
        <w:rFonts w:ascii="Arial" w:hAnsi="Arial"/>
        <w:sz w:val="20"/>
      </w:rPr>
    </w:pPr>
    <w:r>
      <w:rPr>
        <w:rFonts w:ascii="Arial" w:hAnsi="Arial"/>
        <w:sz w:val="20"/>
      </w:rPr>
      <w:t>Call-Off Ref:</w:t>
    </w:r>
  </w:p>
  <w:p w14:paraId="34AAF8F2" w14:textId="77777777" w:rsidR="007337F4" w:rsidRPr="00985E32" w:rsidRDefault="00D33320">
    <w:pPr>
      <w:pStyle w:val="Header"/>
      <w:rPr>
        <w:rFonts w:ascii="Arial" w:hAnsi="Arial"/>
        <w:sz w:val="20"/>
      </w:rPr>
    </w:pPr>
    <w:r>
      <w:rPr>
        <w:rFonts w:ascii="Arial" w:hAnsi="Arial"/>
        <w:sz w:val="20"/>
      </w:rPr>
      <w:t>Crown Copyright 2018</w:t>
    </w:r>
  </w:p>
  <w:p w14:paraId="34AAF8F3" w14:textId="77777777" w:rsidR="007337F4" w:rsidRDefault="00733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AF8F8" w14:textId="77777777" w:rsidR="006E2B29" w:rsidRDefault="006E2B29">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34AAF8FC" wp14:editId="34AAF8FD">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21DA05F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91FC6"/>
    <w:rsid w:val="000E7090"/>
    <w:rsid w:val="00114CD2"/>
    <w:rsid w:val="00155CE0"/>
    <w:rsid w:val="001611D1"/>
    <w:rsid w:val="001A1CEB"/>
    <w:rsid w:val="00292978"/>
    <w:rsid w:val="00341AEF"/>
    <w:rsid w:val="0039266B"/>
    <w:rsid w:val="003A7DDA"/>
    <w:rsid w:val="00447C56"/>
    <w:rsid w:val="004767B9"/>
    <w:rsid w:val="0048104E"/>
    <w:rsid w:val="004A37A5"/>
    <w:rsid w:val="004D49BE"/>
    <w:rsid w:val="005B2B00"/>
    <w:rsid w:val="00641F0B"/>
    <w:rsid w:val="006C5497"/>
    <w:rsid w:val="006D3F3E"/>
    <w:rsid w:val="006E2B29"/>
    <w:rsid w:val="006E749B"/>
    <w:rsid w:val="0070093C"/>
    <w:rsid w:val="007337F4"/>
    <w:rsid w:val="007642D9"/>
    <w:rsid w:val="007D5294"/>
    <w:rsid w:val="00857CFB"/>
    <w:rsid w:val="00865BAC"/>
    <w:rsid w:val="00942E1F"/>
    <w:rsid w:val="00985E32"/>
    <w:rsid w:val="00A661AB"/>
    <w:rsid w:val="00AB0B36"/>
    <w:rsid w:val="00B5059A"/>
    <w:rsid w:val="00B567B9"/>
    <w:rsid w:val="00B86939"/>
    <w:rsid w:val="00BD4E1E"/>
    <w:rsid w:val="00BE2BA7"/>
    <w:rsid w:val="00C36A40"/>
    <w:rsid w:val="00C458DB"/>
    <w:rsid w:val="00D32AC4"/>
    <w:rsid w:val="00D33320"/>
    <w:rsid w:val="00D7357A"/>
    <w:rsid w:val="00D90DF0"/>
    <w:rsid w:val="00DD2499"/>
    <w:rsid w:val="00DF1F0B"/>
    <w:rsid w:val="00F82F15"/>
    <w:rsid w:val="00F86FE7"/>
    <w:rsid w:val="00FB3ED6"/>
    <w:rsid w:val="00FC649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AAF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EBE06-C236-4646-9E23-8B120C7C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2018-12-05T16:21:00Z</dcterms:created>
  <dcterms:modified xsi:type="dcterms:W3CDTF">2018-12-05T16:21:00Z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